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98" w:rsidRPr="00565C98" w:rsidRDefault="00565C98" w:rsidP="00565C98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bookmarkStart w:id="0" w:name="_GoBack"/>
      <w:r w:rsidRPr="00565C98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Причины СДВГ. Нейропсихологический подход</w:t>
      </w:r>
      <w:bookmarkEnd w:id="0"/>
      <w:r w:rsidRPr="00565C98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Синдром дефицита внимания и </w:t>
      </w:r>
      <w:proofErr w:type="spellStart"/>
      <w:r>
        <w:rPr>
          <w:rFonts w:ascii="Arial" w:hAnsi="Arial" w:cs="Arial"/>
          <w:color w:val="000000"/>
        </w:rPr>
        <w:t>гиперактивности</w:t>
      </w:r>
      <w:proofErr w:type="spellEnd"/>
      <w:r>
        <w:rPr>
          <w:rFonts w:ascii="Arial" w:hAnsi="Arial" w:cs="Arial"/>
          <w:color w:val="000000"/>
        </w:rPr>
        <w:t xml:space="preserve"> - неврологическое – поведенческое расстройство развития, начинающееся в детском возрасте.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СДВГ вызывает много споров. С неврологической точки зрения СДВГ рассматривается как стойкий и хронический синдром, для которого не найдено способа излечения. По некоторым данным у населения Соединенных Штатов это расстройство присутствует у 3-5 % людей, включая как детское, так и взрослое население. Согласно действующим критериям диагностики, СДВГ можно диагностировать, начиная с позднего дошкольного или школьного возраста, поскольку для выполнения требований постановки диагноза необходима оценка поведения ребенка как минимум в двух условиях обстановки (например, дома и в школе). Наличие нарушений обучения и социальных функций является необходимым критерием для установления диагноза СДВГ.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Этиология СДВГ изучена недостаточно. Большинство исследователей предполагают генетическую природу синдрома. В семьях детей с синдромом дефицита внимания и </w:t>
      </w:r>
      <w:proofErr w:type="spellStart"/>
      <w:r>
        <w:rPr>
          <w:rFonts w:ascii="Arial" w:hAnsi="Arial" w:cs="Arial"/>
          <w:color w:val="000000"/>
        </w:rPr>
        <w:t>гиперактивности</w:t>
      </w:r>
      <w:proofErr w:type="spellEnd"/>
      <w:r>
        <w:rPr>
          <w:rFonts w:ascii="Arial" w:hAnsi="Arial" w:cs="Arial"/>
          <w:color w:val="000000"/>
        </w:rPr>
        <w:t xml:space="preserve"> нередко имеются близкие родственники, имевшие в школьном возрасте аналогичные нарушения. В родословных детей с СДВГ также часто прослеживается отягощенность по обсессивно-</w:t>
      </w:r>
      <w:proofErr w:type="spellStart"/>
      <w:r>
        <w:rPr>
          <w:rFonts w:ascii="Arial" w:hAnsi="Arial" w:cs="Arial"/>
          <w:color w:val="000000"/>
        </w:rPr>
        <w:t>компульсивному</w:t>
      </w:r>
      <w:proofErr w:type="spellEnd"/>
      <w:r>
        <w:rPr>
          <w:rFonts w:ascii="Arial" w:hAnsi="Arial" w:cs="Arial"/>
          <w:color w:val="000000"/>
        </w:rPr>
        <w:t xml:space="preserve"> синдрому, тикам и синдрому</w:t>
      </w:r>
      <w:proofErr w:type="gramStart"/>
      <w:r>
        <w:rPr>
          <w:rFonts w:ascii="Arial" w:hAnsi="Arial" w:cs="Arial"/>
          <w:color w:val="000000"/>
        </w:rPr>
        <w:t xml:space="preserve"> Ж</w:t>
      </w:r>
      <w:proofErr w:type="gramEnd"/>
      <w:r>
        <w:rPr>
          <w:rFonts w:ascii="Arial" w:hAnsi="Arial" w:cs="Arial"/>
          <w:color w:val="000000"/>
        </w:rPr>
        <w:t xml:space="preserve">иль де ля </w:t>
      </w:r>
      <w:proofErr w:type="spellStart"/>
      <w:r>
        <w:rPr>
          <w:rFonts w:ascii="Arial" w:hAnsi="Arial" w:cs="Arial"/>
          <w:color w:val="000000"/>
        </w:rPr>
        <w:t>Туретта</w:t>
      </w:r>
      <w:proofErr w:type="spellEnd"/>
      <w:r>
        <w:rPr>
          <w:rFonts w:ascii="Arial" w:hAnsi="Arial" w:cs="Arial"/>
          <w:color w:val="000000"/>
        </w:rPr>
        <w:t xml:space="preserve">. Вероятно, существует генетически детерминированная взаимосвязь </w:t>
      </w:r>
      <w:proofErr w:type="spellStart"/>
      <w:r>
        <w:rPr>
          <w:rFonts w:ascii="Arial" w:hAnsi="Arial" w:cs="Arial"/>
          <w:color w:val="000000"/>
        </w:rPr>
        <w:t>нейромедиаторных</w:t>
      </w:r>
      <w:proofErr w:type="spellEnd"/>
      <w:r>
        <w:rPr>
          <w:rFonts w:ascii="Arial" w:hAnsi="Arial" w:cs="Arial"/>
          <w:color w:val="000000"/>
        </w:rPr>
        <w:t xml:space="preserve"> нарушений в головном мозге при данных патологических состояниях.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Предполагается, что СДВГ детерминируется мутациями 3 генов, регулирующих </w:t>
      </w:r>
      <w:proofErr w:type="spellStart"/>
      <w:r>
        <w:rPr>
          <w:rFonts w:ascii="Arial" w:hAnsi="Arial" w:cs="Arial"/>
          <w:color w:val="000000"/>
        </w:rPr>
        <w:t>дофаминовый</w:t>
      </w:r>
      <w:proofErr w:type="spellEnd"/>
      <w:r>
        <w:rPr>
          <w:rFonts w:ascii="Arial" w:hAnsi="Arial" w:cs="Arial"/>
          <w:color w:val="000000"/>
        </w:rPr>
        <w:t xml:space="preserve"> обмен - гена D4 рецепторов, гена D2 рецепторов и гена, ответственного за транспорт дофамина. Носителями мутантного гена являются дети </w:t>
      </w:r>
      <w:proofErr w:type="gramStart"/>
      <w:r>
        <w:rPr>
          <w:rFonts w:ascii="Arial" w:hAnsi="Arial" w:cs="Arial"/>
          <w:color w:val="000000"/>
        </w:rPr>
        <w:t>с</w:t>
      </w:r>
      <w:proofErr w:type="gramEnd"/>
      <w:r>
        <w:rPr>
          <w:rFonts w:ascii="Arial" w:hAnsi="Arial" w:cs="Arial"/>
          <w:color w:val="000000"/>
        </w:rPr>
        <w:t xml:space="preserve"> наиболее выраженной </w:t>
      </w:r>
      <w:proofErr w:type="spellStart"/>
      <w:r>
        <w:rPr>
          <w:rFonts w:ascii="Arial" w:hAnsi="Arial" w:cs="Arial"/>
          <w:color w:val="000000"/>
        </w:rPr>
        <w:t>гиперактивностью</w:t>
      </w:r>
      <w:proofErr w:type="spellEnd"/>
      <w:r>
        <w:rPr>
          <w:rFonts w:ascii="Arial" w:hAnsi="Arial" w:cs="Arial"/>
          <w:color w:val="000000"/>
        </w:rPr>
        <w:t xml:space="preserve">. Наряду с генетическими, выделяют семейные, перинатальные и перинатальные факторы </w:t>
      </w:r>
      <w:proofErr w:type="gramStart"/>
      <w:r>
        <w:rPr>
          <w:rFonts w:ascii="Arial" w:hAnsi="Arial" w:cs="Arial"/>
          <w:color w:val="000000"/>
        </w:rPr>
        <w:t>риска развития синдрома дефицита внимания</w:t>
      </w:r>
      <w:proofErr w:type="gram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гиперактивности</w:t>
      </w:r>
      <w:proofErr w:type="spellEnd"/>
      <w:r>
        <w:rPr>
          <w:rFonts w:ascii="Arial" w:hAnsi="Arial" w:cs="Arial"/>
          <w:color w:val="000000"/>
        </w:rPr>
        <w:t>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 результатам исследования H.H. </w:t>
      </w:r>
      <w:proofErr w:type="spellStart"/>
      <w:r>
        <w:rPr>
          <w:rFonts w:ascii="Arial" w:hAnsi="Arial" w:cs="Arial"/>
          <w:color w:val="000000"/>
        </w:rPr>
        <w:t>Заваденко</w:t>
      </w:r>
      <w:proofErr w:type="spellEnd"/>
      <w:r>
        <w:rPr>
          <w:rFonts w:ascii="Arial" w:hAnsi="Arial" w:cs="Arial"/>
          <w:color w:val="000000"/>
        </w:rPr>
        <w:t xml:space="preserve"> /5/, возникновение СДВГ из-за раннего повреждения центральной нервной системы в период беременности и родов встречается в 84% случаев, </w:t>
      </w:r>
      <w:proofErr w:type="gramStart"/>
      <w:r>
        <w:rPr>
          <w:rFonts w:ascii="Arial" w:hAnsi="Arial" w:cs="Arial"/>
          <w:color w:val="000000"/>
        </w:rPr>
        <w:t>из-за генетических причин</w:t>
      </w:r>
      <w:proofErr w:type="gramEnd"/>
      <w:r>
        <w:rPr>
          <w:rFonts w:ascii="Arial" w:hAnsi="Arial" w:cs="Arial"/>
          <w:color w:val="000000"/>
        </w:rPr>
        <w:t xml:space="preserve"> — в 57%, негативное действие внутрисемейных факторов прослеживается в 63%.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Предполагается, что в основе патогенеза синдрома лежат нарушения активирующей системы ретикулярной формации, которая способствует координации обучения и памяти, обработке поступающей информации и спонтанному поддержанию внимания. Нарушения активирующей функции ретикулярной формации, по всей видимости, связаны с </w:t>
      </w:r>
      <w:proofErr w:type="gramStart"/>
      <w:r>
        <w:rPr>
          <w:rFonts w:ascii="Arial" w:hAnsi="Arial" w:cs="Arial"/>
          <w:color w:val="000000"/>
        </w:rPr>
        <w:t>недостаточностью в ней</w:t>
      </w:r>
      <w:proofErr w:type="gramEnd"/>
      <w:r>
        <w:rPr>
          <w:rFonts w:ascii="Arial" w:hAnsi="Arial" w:cs="Arial"/>
          <w:color w:val="000000"/>
        </w:rPr>
        <w:t xml:space="preserve"> норадреналина. Невозможность адекватной обработки информации приводит к тому, что различные зрительные, звуковые, эмоциональные стимулы становятся для ребенка избыточными, вызывая беспокойство, раздражение и агрессивность. Нарушения в функционировании ретикулярной формации предопределяют вторичные нарушения </w:t>
      </w:r>
      <w:proofErr w:type="spellStart"/>
      <w:r>
        <w:rPr>
          <w:rFonts w:ascii="Arial" w:hAnsi="Arial" w:cs="Arial"/>
          <w:color w:val="000000"/>
        </w:rPr>
        <w:t>нейромедиаторного</w:t>
      </w:r>
      <w:proofErr w:type="spellEnd"/>
      <w:r>
        <w:rPr>
          <w:rFonts w:ascii="Arial" w:hAnsi="Arial" w:cs="Arial"/>
          <w:color w:val="000000"/>
        </w:rPr>
        <w:t xml:space="preserve"> обмена головного мозга. Теория о связи </w:t>
      </w:r>
      <w:proofErr w:type="spellStart"/>
      <w:r>
        <w:rPr>
          <w:rFonts w:ascii="Arial" w:hAnsi="Arial" w:cs="Arial"/>
          <w:color w:val="000000"/>
        </w:rPr>
        <w:t>гиперактивности</w:t>
      </w:r>
      <w:proofErr w:type="spellEnd"/>
      <w:r>
        <w:rPr>
          <w:rFonts w:ascii="Arial" w:hAnsi="Arial" w:cs="Arial"/>
          <w:color w:val="000000"/>
        </w:rPr>
        <w:t xml:space="preserve"> с нарушениями обмена дофамина имеет многочисленные подтверждения, в частности, успешность терапии синдрома дефицита внимания/</w:t>
      </w:r>
      <w:proofErr w:type="spellStart"/>
      <w:r>
        <w:rPr>
          <w:rFonts w:ascii="Arial" w:hAnsi="Arial" w:cs="Arial"/>
          <w:color w:val="000000"/>
        </w:rPr>
        <w:t>гиперактивности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дофаминергическими</w:t>
      </w:r>
      <w:proofErr w:type="spellEnd"/>
      <w:r>
        <w:rPr>
          <w:rFonts w:ascii="Arial" w:hAnsi="Arial" w:cs="Arial"/>
          <w:color w:val="000000"/>
        </w:rPr>
        <w:t xml:space="preserve"> препаратами. Возможно, что нарушения </w:t>
      </w:r>
      <w:proofErr w:type="spellStart"/>
      <w:r>
        <w:rPr>
          <w:rFonts w:ascii="Arial" w:hAnsi="Arial" w:cs="Arial"/>
          <w:color w:val="000000"/>
        </w:rPr>
        <w:t>нейромедиаторного</w:t>
      </w:r>
      <w:proofErr w:type="spellEnd"/>
      <w:r>
        <w:rPr>
          <w:rFonts w:ascii="Arial" w:hAnsi="Arial" w:cs="Arial"/>
          <w:color w:val="000000"/>
        </w:rPr>
        <w:t xml:space="preserve"> обмена, приводящие к </w:t>
      </w:r>
      <w:proofErr w:type="spellStart"/>
      <w:r>
        <w:rPr>
          <w:rFonts w:ascii="Arial" w:hAnsi="Arial" w:cs="Arial"/>
          <w:color w:val="000000"/>
        </w:rPr>
        <w:t>гиперактивности</w:t>
      </w:r>
      <w:proofErr w:type="spellEnd"/>
      <w:r>
        <w:rPr>
          <w:rFonts w:ascii="Arial" w:hAnsi="Arial" w:cs="Arial"/>
          <w:color w:val="000000"/>
        </w:rPr>
        <w:t xml:space="preserve">, связаны с </w:t>
      </w:r>
      <w:r>
        <w:rPr>
          <w:rFonts w:ascii="Arial" w:hAnsi="Arial" w:cs="Arial"/>
          <w:color w:val="000000"/>
        </w:rPr>
        <w:lastRenderedPageBreak/>
        <w:t xml:space="preserve">мутациями в генах, которые регулируют функции </w:t>
      </w:r>
      <w:proofErr w:type="spellStart"/>
      <w:r>
        <w:rPr>
          <w:rFonts w:ascii="Arial" w:hAnsi="Arial" w:cs="Arial"/>
          <w:color w:val="000000"/>
        </w:rPr>
        <w:t>дофаминовых</w:t>
      </w:r>
      <w:proofErr w:type="spellEnd"/>
      <w:r>
        <w:rPr>
          <w:rFonts w:ascii="Arial" w:hAnsi="Arial" w:cs="Arial"/>
          <w:color w:val="000000"/>
        </w:rPr>
        <w:t xml:space="preserve"> рецепторов. Отдельные биохимические исследования у детей с синдромом дефицита внимания/</w:t>
      </w:r>
      <w:proofErr w:type="spellStart"/>
      <w:r>
        <w:rPr>
          <w:rFonts w:ascii="Arial" w:hAnsi="Arial" w:cs="Arial"/>
          <w:color w:val="000000"/>
        </w:rPr>
        <w:t>гиперактивности</w:t>
      </w:r>
      <w:proofErr w:type="spellEnd"/>
      <w:r>
        <w:rPr>
          <w:rFonts w:ascii="Arial" w:hAnsi="Arial" w:cs="Arial"/>
          <w:color w:val="000000"/>
        </w:rPr>
        <w:t xml:space="preserve"> свидетельствуют, что в головном мозге нарушается обмен не только дофамина, но и других </w:t>
      </w:r>
      <w:proofErr w:type="spellStart"/>
      <w:r>
        <w:rPr>
          <w:rFonts w:ascii="Arial" w:hAnsi="Arial" w:cs="Arial"/>
          <w:color w:val="000000"/>
        </w:rPr>
        <w:t>нейромедиаторов</w:t>
      </w:r>
      <w:proofErr w:type="spellEnd"/>
      <w:r>
        <w:rPr>
          <w:rFonts w:ascii="Arial" w:hAnsi="Arial" w:cs="Arial"/>
          <w:color w:val="000000"/>
        </w:rPr>
        <w:t xml:space="preserve"> - серотонина и норадреналина.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Нейропсихологические исследования показывают неоднородность проявлений СДВГ и позволяют выявить несколько вариантов этого синдрома. Так, </w:t>
      </w:r>
      <w:proofErr w:type="spellStart"/>
      <w:r>
        <w:rPr>
          <w:rFonts w:ascii="Arial" w:hAnsi="Arial" w:cs="Arial"/>
          <w:color w:val="000000"/>
        </w:rPr>
        <w:t>лонгитюдное</w:t>
      </w:r>
      <w:proofErr w:type="spellEnd"/>
      <w:r>
        <w:rPr>
          <w:rFonts w:ascii="Arial" w:hAnsi="Arial" w:cs="Arial"/>
          <w:color w:val="000000"/>
        </w:rPr>
        <w:t xml:space="preserve"> исследование детей от 5 до 9 лет Е.А. Осиповой и Н.В. Панкратовой показало 4 типа отклонений высших психических функций.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Первый тип встречался в 42% случаев и был связан с </w:t>
      </w:r>
      <w:proofErr w:type="spellStart"/>
      <w:r>
        <w:rPr>
          <w:rFonts w:ascii="Arial" w:hAnsi="Arial" w:cs="Arial"/>
          <w:color w:val="000000"/>
        </w:rPr>
        <w:t>дефицитарностью</w:t>
      </w:r>
      <w:proofErr w:type="spellEnd"/>
      <w:r>
        <w:rPr>
          <w:rFonts w:ascii="Arial" w:hAnsi="Arial" w:cs="Arial"/>
          <w:color w:val="000000"/>
        </w:rPr>
        <w:t xml:space="preserve"> базальных структур мозга, задержкой становления функциональной левополушарной </w:t>
      </w:r>
      <w:proofErr w:type="spellStart"/>
      <w:r>
        <w:rPr>
          <w:rFonts w:ascii="Arial" w:hAnsi="Arial" w:cs="Arial"/>
          <w:color w:val="000000"/>
        </w:rPr>
        <w:t>доминантности</w:t>
      </w:r>
      <w:proofErr w:type="spellEnd"/>
      <w:r>
        <w:rPr>
          <w:rFonts w:ascii="Arial" w:hAnsi="Arial" w:cs="Arial"/>
          <w:color w:val="000000"/>
        </w:rPr>
        <w:t xml:space="preserve"> и недостаточностью корково-подкорковой регуляции. В процессе взросления для детей с таким типом СДВГ характерны ослабление симптомов и нормализация поведения. В онтогенезе отмечалось запаздывание определения ведущей руки, трудности формирования и удержания двигательных программ, нарушения </w:t>
      </w:r>
      <w:proofErr w:type="spellStart"/>
      <w:r>
        <w:rPr>
          <w:rFonts w:ascii="Arial" w:hAnsi="Arial" w:cs="Arial"/>
          <w:color w:val="000000"/>
        </w:rPr>
        <w:t>мнестической</w:t>
      </w:r>
      <w:proofErr w:type="spellEnd"/>
      <w:r>
        <w:rPr>
          <w:rFonts w:ascii="Arial" w:hAnsi="Arial" w:cs="Arial"/>
          <w:color w:val="000000"/>
        </w:rPr>
        <w:t xml:space="preserve"> деятельности в звене избирательности.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Второй тип СДВГ, выявленный у 20% обследованных, характеризовался дисфункцией правого полушария в сочетании с </w:t>
      </w:r>
      <w:proofErr w:type="spellStart"/>
      <w:r>
        <w:rPr>
          <w:rFonts w:ascii="Arial" w:hAnsi="Arial" w:cs="Arial"/>
          <w:color w:val="000000"/>
        </w:rPr>
        <w:t>дефицитарностью</w:t>
      </w:r>
      <w:proofErr w:type="spellEnd"/>
      <w:r>
        <w:rPr>
          <w:rFonts w:ascii="Arial" w:hAnsi="Arial" w:cs="Arial"/>
          <w:color w:val="000000"/>
        </w:rPr>
        <w:t xml:space="preserve"> базальных (подкорковых) структур мозга. Этот вариант онтогенеза отличался выраженной неустойчивостью возрастной динамики. Развитие детей и овладение когнитивными и социальными навыками сопровождалось периодическими сбоями и усилением </w:t>
      </w:r>
      <w:proofErr w:type="spellStart"/>
      <w:r>
        <w:rPr>
          <w:rFonts w:ascii="Arial" w:hAnsi="Arial" w:cs="Arial"/>
          <w:color w:val="000000"/>
        </w:rPr>
        <w:t>гиперактивности</w:t>
      </w:r>
      <w:proofErr w:type="spellEnd"/>
      <w:r>
        <w:rPr>
          <w:rFonts w:ascii="Arial" w:hAnsi="Arial" w:cs="Arial"/>
          <w:color w:val="000000"/>
        </w:rPr>
        <w:t xml:space="preserve">. Пик </w:t>
      </w:r>
      <w:proofErr w:type="spellStart"/>
      <w:r>
        <w:rPr>
          <w:rFonts w:ascii="Arial" w:hAnsi="Arial" w:cs="Arial"/>
          <w:color w:val="000000"/>
        </w:rPr>
        <w:t>гиперактивности</w:t>
      </w:r>
      <w:proofErr w:type="spellEnd"/>
      <w:r>
        <w:rPr>
          <w:rFonts w:ascii="Arial" w:hAnsi="Arial" w:cs="Arial"/>
          <w:color w:val="000000"/>
        </w:rPr>
        <w:t xml:space="preserve"> и нарушений взаимодействия со сверстниками у этой группы детей приходился на 5-летний возраст. В возрасте 7-8 лет отмечалась положительная динамика, а в 9 лет — повторное нарастание симптомов. У детей прослеживались полимодальные нарушения </w:t>
      </w:r>
      <w:proofErr w:type="spellStart"/>
      <w:r>
        <w:rPr>
          <w:rFonts w:ascii="Arial" w:hAnsi="Arial" w:cs="Arial"/>
          <w:color w:val="000000"/>
        </w:rPr>
        <w:t>мнестической</w:t>
      </w:r>
      <w:proofErr w:type="spellEnd"/>
      <w:r>
        <w:rPr>
          <w:rFonts w:ascii="Arial" w:hAnsi="Arial" w:cs="Arial"/>
          <w:color w:val="000000"/>
        </w:rPr>
        <w:t xml:space="preserve"> деятельности в звене избирательности и дефицит в реализации двигательных функций, как и у детей первой группы.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Третий тип развития СДВГ выявлен у 29% </w:t>
      </w:r>
      <w:proofErr w:type="gramStart"/>
      <w:r>
        <w:rPr>
          <w:rFonts w:ascii="Arial" w:hAnsi="Arial" w:cs="Arial"/>
          <w:color w:val="000000"/>
        </w:rPr>
        <w:t>обследованных</w:t>
      </w:r>
      <w:proofErr w:type="gramEnd"/>
      <w:r>
        <w:rPr>
          <w:rFonts w:ascii="Arial" w:hAnsi="Arial" w:cs="Arial"/>
          <w:color w:val="000000"/>
        </w:rPr>
        <w:t xml:space="preserve">. У них отмечалась первичная функциональная </w:t>
      </w:r>
      <w:proofErr w:type="spellStart"/>
      <w:r>
        <w:rPr>
          <w:rFonts w:ascii="Arial" w:hAnsi="Arial" w:cs="Arial"/>
          <w:color w:val="000000"/>
        </w:rPr>
        <w:t>дефицитарность</w:t>
      </w:r>
      <w:proofErr w:type="spellEnd"/>
      <w:r>
        <w:rPr>
          <w:rFonts w:ascii="Arial" w:hAnsi="Arial" w:cs="Arial"/>
          <w:color w:val="000000"/>
        </w:rPr>
        <w:t xml:space="preserve"> базальных структур мозга, что замедляло формирование пространственных функций (задние отделы правого полушария), а также функций программирования и контроля (лобные доли левого полушария), были снижены интеллектуальные показатели. Тем не менее, у детей этого типа часто отмечалась замедленная, но положительная возрастная динамика.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Четвертый тип СДВГ был определен в 9% случаев и характеризовался сохранностью базальных структур мозга </w:t>
      </w:r>
      <w:proofErr w:type="gramStart"/>
      <w:r>
        <w:rPr>
          <w:rFonts w:ascii="Arial" w:hAnsi="Arial" w:cs="Arial"/>
          <w:color w:val="000000"/>
        </w:rPr>
        <w:t>при</w:t>
      </w:r>
      <w:proofErr w:type="gramEnd"/>
      <w:r>
        <w:rPr>
          <w:rFonts w:ascii="Arial" w:hAnsi="Arial" w:cs="Arial"/>
          <w:color w:val="000000"/>
        </w:rPr>
        <w:t xml:space="preserve"> выраженной </w:t>
      </w:r>
      <w:proofErr w:type="spellStart"/>
      <w:r>
        <w:rPr>
          <w:rFonts w:ascii="Arial" w:hAnsi="Arial" w:cs="Arial"/>
          <w:color w:val="000000"/>
        </w:rPr>
        <w:t>несформированности</w:t>
      </w:r>
      <w:proofErr w:type="spellEnd"/>
      <w:r>
        <w:rPr>
          <w:rFonts w:ascii="Arial" w:hAnsi="Arial" w:cs="Arial"/>
          <w:color w:val="000000"/>
        </w:rPr>
        <w:t xml:space="preserve"> регуляторных структур (лобные доли левого полушария). Отмечалась недостаточность речевого программирования и контроля в обеспечении последовательного выполнения серийных действий, инертность при воспроизведении заучиваемого материала, персеверации, неустойчивость социальных контактов, агрессия, неуправляемость.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Результаты исследования Т.Г. Горячевой и А.С. </w:t>
      </w:r>
      <w:proofErr w:type="spellStart"/>
      <w:r>
        <w:rPr>
          <w:rFonts w:ascii="Arial" w:hAnsi="Arial" w:cs="Arial"/>
          <w:color w:val="000000"/>
        </w:rPr>
        <w:t>Султановой</w:t>
      </w:r>
      <w:proofErr w:type="spellEnd"/>
      <w:r>
        <w:rPr>
          <w:rFonts w:ascii="Arial" w:hAnsi="Arial" w:cs="Arial"/>
          <w:color w:val="000000"/>
        </w:rPr>
        <w:t xml:space="preserve"> /12/ позволили разделить детей с СДВГ на 3 группы. Первую (70%) составили дети с первичными дисфункциями стволовых и подкорковых структур мозга, у которых вторично страдает функциональное развитие префронтальных областей коры. Во вторую группу (около 20%) были объединены дети с первичными дисфункциями </w:t>
      </w:r>
      <w:r>
        <w:rPr>
          <w:rFonts w:ascii="Arial" w:hAnsi="Arial" w:cs="Arial"/>
          <w:color w:val="000000"/>
        </w:rPr>
        <w:lastRenderedPageBreak/>
        <w:t xml:space="preserve">стволовых и подкорковых структур мозга, у которых вторично страдает функциональное развитие коры преимущественно базальных лобных отделов. Третья группа детей (около 10%) характеризовалась первичной функциональной недостаточностью префронтальных отделов коры головного мозга. Авторами подчеркивается, что нарушения внимания у детей первых двух групп представляют собой прямые проявления дефицита активации, отличаясь повышенной истощаемостью и отсутствием повышения внимания и снижения </w:t>
      </w:r>
      <w:proofErr w:type="spellStart"/>
      <w:r>
        <w:rPr>
          <w:rFonts w:ascii="Arial" w:hAnsi="Arial" w:cs="Arial"/>
          <w:color w:val="000000"/>
        </w:rPr>
        <w:t>гиперактивности</w:t>
      </w:r>
      <w:proofErr w:type="spellEnd"/>
      <w:r>
        <w:rPr>
          <w:rFonts w:ascii="Arial" w:hAnsi="Arial" w:cs="Arial"/>
          <w:color w:val="000000"/>
        </w:rPr>
        <w:t xml:space="preserve"> в условиях создания игровой ситуации. В отличие от них, детям третьей группы удавалось преодолевать свою отвлекаемость при специальной организации материала, повышающей мотивацию, или при введении игрового контекста при выполнении заданий.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Сопоставляя эти два исследования, можно отметить, что речь идет преимущественно о двух типах дефицита: дисфункцией I и III структурно-функциональных блоков мозга по А.Р. </w:t>
      </w:r>
      <w:proofErr w:type="spellStart"/>
      <w:r>
        <w:rPr>
          <w:rFonts w:ascii="Arial" w:hAnsi="Arial" w:cs="Arial"/>
          <w:color w:val="000000"/>
        </w:rPr>
        <w:t>Лурия</w:t>
      </w:r>
      <w:proofErr w:type="spellEnd"/>
      <w:r>
        <w:rPr>
          <w:rFonts w:ascii="Arial" w:hAnsi="Arial" w:cs="Arial"/>
          <w:color w:val="000000"/>
        </w:rPr>
        <w:t>. Слабость блока регуляции и поддержания психического тонуса и бодрствования (I блока) проявляется в разбалансировке фоновых компонентов движений, обеспечиваемых верхними отделами экстрапирамидной системы: интенсивности, темпа, спонтанности двигательных реакций. Слабость блока регуляции, программирования и контроля (III блока) проявляется в виде трудностей произвольного торможения импульсивности и нисходящего коркового контроля над фоновыми компонентами движений.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Основная причина повреждения участков головного мозга ребёнка - это гипоксия в родах, то есть снижение поступления достаточного количества кислорода в головной мозг. Причём опасна гипоксия, наступающая быстро в течение нескольких минут (острая гипоксия или </w:t>
      </w:r>
      <w:proofErr w:type="spellStart"/>
      <w:r>
        <w:rPr>
          <w:rFonts w:ascii="Arial" w:hAnsi="Arial" w:cs="Arial"/>
          <w:color w:val="000000"/>
        </w:rPr>
        <w:t>дистресс</w:t>
      </w:r>
      <w:proofErr w:type="spellEnd"/>
      <w:r>
        <w:rPr>
          <w:rFonts w:ascii="Arial" w:hAnsi="Arial" w:cs="Arial"/>
          <w:color w:val="000000"/>
        </w:rPr>
        <w:t xml:space="preserve"> плода), с которой защитные механизмы плода не справляются. Острая гипоксия может вызвать страдание и гибель участков белого вещества головного мозга. Такая гипоксия может возникнуть, прежде всего, в период родов.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гипоксии головного мозга в родах меньше всего страдают клетки коры головного мозга (нейроны коры мозга), так как они начинают работать только после рождения ребёнка, во время родов им нужен минимум кислорода.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 гипоксии в родах кровь перераспределяется и прежде </w:t>
      </w:r>
      <w:proofErr w:type="gramStart"/>
      <w:r>
        <w:rPr>
          <w:rFonts w:ascii="Arial" w:hAnsi="Arial" w:cs="Arial"/>
          <w:color w:val="000000"/>
        </w:rPr>
        <w:t>всего</w:t>
      </w:r>
      <w:proofErr w:type="gramEnd"/>
      <w:r>
        <w:rPr>
          <w:rFonts w:ascii="Arial" w:hAnsi="Arial" w:cs="Arial"/>
          <w:color w:val="000000"/>
        </w:rPr>
        <w:t xml:space="preserve"> поступает к клеткам ствола головного мозга, где находятся важнейшие для жизни центры - центр регуляции кровообращения и центр регуляции дыхания. (Из него, после рождения ребёнка, поступит сигнал сделать вдох.) Таким образом, наиболее чувствительными к гипоксии у плода являются клетки нейроглии (</w:t>
      </w:r>
      <w:proofErr w:type="spellStart"/>
      <w:r>
        <w:rPr>
          <w:rFonts w:ascii="Arial" w:hAnsi="Arial" w:cs="Arial"/>
          <w:color w:val="000000"/>
        </w:rPr>
        <w:t>олигодендроциты</w:t>
      </w:r>
      <w:proofErr w:type="spellEnd"/>
      <w:r>
        <w:rPr>
          <w:rFonts w:ascii="Arial" w:hAnsi="Arial" w:cs="Arial"/>
          <w:color w:val="000000"/>
        </w:rPr>
        <w:t>), находящиеся в большом количестве между корой и стволом головного мозга, в подкорковой зоне - области Белого вещества головного мозга (БВМ).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Клетки нейроглии после рождения ребёнка должны обеспечить процесс </w:t>
      </w:r>
      <w:proofErr w:type="spellStart"/>
      <w:r>
        <w:rPr>
          <w:rFonts w:ascii="Arial" w:hAnsi="Arial" w:cs="Arial"/>
          <w:color w:val="000000"/>
        </w:rPr>
        <w:t>миелинизации</w:t>
      </w:r>
      <w:proofErr w:type="spellEnd"/>
      <w:r>
        <w:rPr>
          <w:rFonts w:ascii="Arial" w:hAnsi="Arial" w:cs="Arial"/>
          <w:color w:val="000000"/>
        </w:rPr>
        <w:t xml:space="preserve">. Каждая клетка коры головного мозга - нейрон - имеет отростки, соединяющие его с другими нейронами, и самый длинный отросток (аксон) идёт к нейронам ствола головного мозга. Как только происходит </w:t>
      </w:r>
      <w:proofErr w:type="spellStart"/>
      <w:r>
        <w:rPr>
          <w:rFonts w:ascii="Arial" w:hAnsi="Arial" w:cs="Arial"/>
          <w:color w:val="000000"/>
        </w:rPr>
        <w:t>миелинизация</w:t>
      </w:r>
      <w:proofErr w:type="spellEnd"/>
      <w:r>
        <w:rPr>
          <w:rFonts w:ascii="Arial" w:hAnsi="Arial" w:cs="Arial"/>
          <w:color w:val="000000"/>
        </w:rPr>
        <w:t xml:space="preserve"> - покрытие этих отростков специальной оболочкой, нейроны коры головного мозга могут посылать сигналы в подкорку и ствол головного мозга и получать ответные сигналы.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Чем больше клеток нейроглии пострадает от гипоксии в родах, тем больше трудностей для нейронов коры головного мозга в налаживании связей с подкоркой и стволом мозга, так как нарушается процесс </w:t>
      </w:r>
      <w:proofErr w:type="spellStart"/>
      <w:r>
        <w:rPr>
          <w:rFonts w:ascii="Arial" w:hAnsi="Arial" w:cs="Arial"/>
          <w:color w:val="000000"/>
        </w:rPr>
        <w:t>миелинизации</w:t>
      </w:r>
      <w:proofErr w:type="spellEnd"/>
      <w:r>
        <w:rPr>
          <w:rFonts w:ascii="Arial" w:hAnsi="Arial" w:cs="Arial"/>
          <w:color w:val="000000"/>
        </w:rPr>
        <w:t>. То есть нейроны коры головного мозга не могут выполнять полноценно и во время (по программе, записанной в их генах) регуляцию и управление нижележащими отделами мозга. Часть нейронов коры просто гибнет при невозможности выполнять свои функции.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Нарушается регуляция мышечным тонусом и рефлексами. К 1-1,5 годам нейроны коры налаживают обычно достаточно связей, чтобы мышечный тонус и рефлексы нормализовались и ребёнок пошёл своими ногами (как записано в генной программе развития организма). В развитии движений участвует не только лобные, но и другие отделы головного мозга, что обеспечивает большие компенсаторные возможности по нормализации двигательных нарушений.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1,5 - 2 лет начинается социальное развитие ребёнка. У ребёнка генетически заложен страх перед взрослыми (родителями), стремление повторять за взрослыми действия и слова, подчиняться замечаниям взрослых, понимать слово «нельзя» (пусть и не всегда повиноваться), бояться наказания и радоваться похвале со стороны взрослых (родителей). То есть возможность воспитания ребёнка обеспечивается на генетическом уровне в программе развития ЦНС ребёнка. Причём эта генетическая программа развития социального созревания (социальной адаптации и поведения) – эволюционно отточена и отобрана, иначе ребёнку было бы не выжить среди окружающего мира, полного реальных опасностей для сохранения здоровья и самой жизни.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недостаточности связей у нейронов коры, отвечающих (по генной программе) за это социальное развитие, появляются несоответствующие возрастной норме нарушения поведения - нарушения социальной адаптации. Расстройства поведения могут быть в некоторых случаях просто присущи данному ребёнку, в связи с его индивидуальными особенностями или быть отражением определённых периодов развития ребёнка.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Расстройства поведения включают: проблемы с воспитанием, с общением, с дисциплиной поведения, с едой, со сном, трудности с приобретением навыков опрятности, </w:t>
      </w:r>
      <w:proofErr w:type="spellStart"/>
      <w:r>
        <w:rPr>
          <w:rFonts w:ascii="Arial" w:hAnsi="Arial" w:cs="Arial"/>
          <w:color w:val="000000"/>
        </w:rPr>
        <w:t>гиперактивность</w:t>
      </w:r>
      <w:proofErr w:type="spellEnd"/>
      <w:r>
        <w:rPr>
          <w:rFonts w:ascii="Arial" w:hAnsi="Arial" w:cs="Arial"/>
          <w:color w:val="000000"/>
        </w:rPr>
        <w:t xml:space="preserve">. Высокая степень активности и склонность к шумным играм характерна для детей с 2 до 4 лет, и как бы считается возрастной нормой. Но </w:t>
      </w:r>
      <w:proofErr w:type="spellStart"/>
      <w:r>
        <w:rPr>
          <w:rFonts w:ascii="Arial" w:hAnsi="Arial" w:cs="Arial"/>
          <w:color w:val="000000"/>
        </w:rPr>
        <w:t>гиперактивность</w:t>
      </w:r>
      <w:proofErr w:type="spellEnd"/>
      <w:r>
        <w:rPr>
          <w:rFonts w:ascii="Arial" w:hAnsi="Arial" w:cs="Arial"/>
          <w:color w:val="000000"/>
        </w:rPr>
        <w:t xml:space="preserve"> в сочетании с невнимательностью и импульсивностью, сохраняющихся у ребёнка после 4 лет, указывает на наличие СДВГ.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Нарушается, прежде всего, регуляция своими эмоциями и ощущениями. Дети эмоционально лабильны (неустойчивы), раздражительны, вспыльчивы. Но, с другой стороны, для них свойственна повышенная ранимость и низкая самооценка.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Интеллект развивается обычно успешно, но его реализацию затрудняет плохая концентрация внимания: дети не могут до конца выслушать условия задачи, импульсивно принимают необдуманные решения. Им быстро надоедает монотонная работа, механическое запоминание большого объёма материала, они часто не доводят до конца начатые дела...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Основной причиной нарушения развития ЦНС ребёнка являются повреждения (инфаркты) БВМ (белого вещества мозга) при острой гипоксии (</w:t>
      </w:r>
      <w:proofErr w:type="spellStart"/>
      <w:r>
        <w:rPr>
          <w:rFonts w:ascii="Arial" w:hAnsi="Arial" w:cs="Arial"/>
          <w:color w:val="000000"/>
        </w:rPr>
        <w:t>дистрессе</w:t>
      </w:r>
      <w:proofErr w:type="spellEnd"/>
      <w:r>
        <w:rPr>
          <w:rFonts w:ascii="Arial" w:hAnsi="Arial" w:cs="Arial"/>
          <w:color w:val="000000"/>
        </w:rPr>
        <w:t>) и родовой травме плода в период родов (</w:t>
      </w:r>
      <w:proofErr w:type="spellStart"/>
      <w:r>
        <w:rPr>
          <w:rFonts w:ascii="Arial" w:hAnsi="Arial" w:cs="Arial"/>
          <w:color w:val="000000"/>
        </w:rPr>
        <w:t>интранатальный</w:t>
      </w:r>
      <w:proofErr w:type="spellEnd"/>
      <w:r>
        <w:rPr>
          <w:rFonts w:ascii="Arial" w:hAnsi="Arial" w:cs="Arial"/>
          <w:color w:val="000000"/>
        </w:rPr>
        <w:t xml:space="preserve"> период).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Основной угрозой и причиной развития острой гипоксии и родовой травмы плода в период родов является лекарственная и механическая “подготовка” шейки матки и стимуляция родов, схваток и потуг.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точно замечает Борцов А.В. /20/, только строгое, полное запрещение врачам-акушерам, использования в родах “современных” медикаментозных средств и врачебных манипуляций для индукции и стимуляции родов, сможет снизить угрозу повреждения головного мозга рождающихся детей, и резко уменьшить количество новорожденных с повреждениями головного мозга.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Только отказ врачей – акушеров от активного агрессивного ведения родов вернёт нашим женщинам естественные роды без индукции и стимуляции.</w:t>
      </w:r>
    </w:p>
    <w:p w:rsidR="00565C98" w:rsidRDefault="00565C98" w:rsidP="00565C98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Естественные роды - единственные безопасные роды, дающие самую большую вероятность сохранения неповреждённой центральной нервной системы рождающегося ребёнка</w:t>
      </w:r>
      <w:proofErr w:type="gramStart"/>
      <w:r>
        <w:rPr>
          <w:rFonts w:ascii="Arial" w:hAnsi="Arial" w:cs="Arial"/>
          <w:color w:val="000000"/>
        </w:rPr>
        <w:t xml:space="preserve"> !</w:t>
      </w:r>
      <w:proofErr w:type="gramEnd"/>
    </w:p>
    <w:p w:rsidR="00804CB6" w:rsidRDefault="00804CB6"/>
    <w:sectPr w:rsidR="00804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C98"/>
    <w:rsid w:val="00565C98"/>
    <w:rsid w:val="00804CB6"/>
    <w:rsid w:val="00E7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2020-09-30T07:31:00Z</dcterms:created>
  <dcterms:modified xsi:type="dcterms:W3CDTF">2020-09-30T08:04:00Z</dcterms:modified>
</cp:coreProperties>
</file>